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法規名稱：</w:t>
      </w:r>
      <w:r w:rsidRPr="00550EB5">
        <w:rPr>
          <w:rFonts w:ascii="細明體" w:eastAsia="細明體" w:hAnsi="細明體" w:cs="新細明體" w:hint="eastAsia"/>
          <w:b/>
          <w:bCs/>
          <w:kern w:val="0"/>
          <w:szCs w:val="24"/>
        </w:rPr>
        <w:tab/>
        <w:t>法務部與所屬各機關性騷擾防治申訴調查及懲處處理要點</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公發布日：</w:t>
      </w:r>
      <w:r w:rsidRPr="00550EB5">
        <w:rPr>
          <w:rFonts w:ascii="細明體" w:eastAsia="細明體" w:hAnsi="細明體" w:cs="新細明體" w:hint="eastAsia"/>
          <w:b/>
          <w:bCs/>
          <w:kern w:val="0"/>
          <w:szCs w:val="24"/>
        </w:rPr>
        <w:tab/>
        <w:t>民國 95 年 12 月 12 日</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修正日期：</w:t>
      </w:r>
      <w:r w:rsidRPr="00550EB5">
        <w:rPr>
          <w:rFonts w:ascii="細明體" w:eastAsia="細明體" w:hAnsi="細明體" w:cs="新細明體" w:hint="eastAsia"/>
          <w:b/>
          <w:bCs/>
          <w:kern w:val="0"/>
          <w:szCs w:val="24"/>
        </w:rPr>
        <w:tab/>
        <w:t>民國 107 年 08 月 16 日</w:t>
      </w:r>
    </w:p>
    <w:p w:rsidR="00550EB5" w:rsidRDefault="00550EB5" w:rsidP="00550EB5">
      <w:pPr>
        <w:rPr>
          <w:rFonts w:ascii="細明體" w:eastAsia="細明體" w:hAnsi="細明體" w:cs="新細明體" w:hint="eastAsia"/>
          <w:b/>
          <w:bCs/>
          <w:kern w:val="0"/>
          <w:szCs w:val="24"/>
        </w:rPr>
      </w:pPr>
      <w:r w:rsidRPr="00550EB5">
        <w:rPr>
          <w:rFonts w:ascii="細明體" w:eastAsia="細明體" w:hAnsi="細明體" w:cs="新細明體" w:hint="eastAsia"/>
          <w:b/>
          <w:bCs/>
          <w:kern w:val="0"/>
          <w:szCs w:val="24"/>
        </w:rPr>
        <w:t>法規體系：</w:t>
      </w:r>
      <w:r w:rsidRPr="00550EB5">
        <w:rPr>
          <w:rFonts w:ascii="細明體" w:eastAsia="細明體" w:hAnsi="細明體" w:cs="新細明體" w:hint="eastAsia"/>
          <w:b/>
          <w:bCs/>
          <w:kern w:val="0"/>
          <w:szCs w:val="24"/>
        </w:rPr>
        <w:tab/>
        <w:t>法務部部內各單位 &gt; 人事處</w:t>
      </w:r>
    </w:p>
    <w:p w:rsidR="008A034D" w:rsidRPr="00550EB5" w:rsidRDefault="008A034D" w:rsidP="00550EB5">
      <w:pPr>
        <w:rPr>
          <w:rFonts w:ascii="細明體" w:eastAsia="細明體" w:hAnsi="細明體" w:cs="新細明體"/>
          <w:b/>
          <w:bCs/>
          <w:kern w:val="0"/>
          <w:szCs w:val="24"/>
        </w:rPr>
      </w:pPr>
      <w:bookmarkStart w:id="0" w:name="_GoBack"/>
      <w:bookmarkEnd w:id="0"/>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w:t>
      </w:r>
      <w:r w:rsidRPr="00550EB5">
        <w:rPr>
          <w:rFonts w:ascii="細明體" w:eastAsia="細明體" w:hAnsi="細明體" w:cs="新細明體" w:hint="eastAsia"/>
          <w:b/>
          <w:bCs/>
          <w:kern w:val="0"/>
          <w:szCs w:val="24"/>
        </w:rPr>
        <w:tab/>
        <w:t>一、法務部（以下簡稱本部）為提供本部及所屬各機關人員免受性騷擾之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工作及服務環境，採取適當之預防、糾正、懲處等相關措施，維護當</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事人之權益及隱私，特依性別工作平等法第十三條第一項、性騷擾防</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治法第七條第二項、工作場所性騷擾防治措施申訴及懲戒辦法訂定準</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則第二條規定，訂定本要點。</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2</w:t>
      </w:r>
      <w:r w:rsidRPr="00550EB5">
        <w:rPr>
          <w:rFonts w:ascii="細明體" w:eastAsia="細明體" w:hAnsi="細明體" w:cs="新細明體" w:hint="eastAsia"/>
          <w:b/>
          <w:bCs/>
          <w:kern w:val="0"/>
          <w:szCs w:val="24"/>
        </w:rPr>
        <w:tab/>
        <w:t>二、本要點適用於本部及所屬各機關員工、派遣勞工、求職者、實習生相</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互間或本部及所屬各機關員工與非員工間所發生之性騷擾事件。</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本要點對於在本部及所屬各機關接受服務之人員間發生之性騷擾事件</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，亦適用之。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3</w:t>
      </w:r>
      <w:r w:rsidRPr="00550EB5">
        <w:rPr>
          <w:rFonts w:ascii="細明體" w:eastAsia="細明體" w:hAnsi="細明體" w:cs="新細明體" w:hint="eastAsia"/>
          <w:b/>
          <w:bCs/>
          <w:kern w:val="0"/>
          <w:szCs w:val="24"/>
        </w:rPr>
        <w:tab/>
        <w:t>三、本要點所定性騷擾，包含性別工作平等法第十二條第一項及性騷擾防</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治法第二條各款情形。</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4</w:t>
      </w:r>
      <w:r w:rsidRPr="00550EB5">
        <w:rPr>
          <w:rFonts w:ascii="細明體" w:eastAsia="細明體" w:hAnsi="細明體" w:cs="新細明體" w:hint="eastAsia"/>
          <w:b/>
          <w:bCs/>
          <w:kern w:val="0"/>
          <w:szCs w:val="24"/>
        </w:rPr>
        <w:tab/>
        <w:t>四、本部及所屬各機關應採行適當措施，建立友善之工作環境，提升性別</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平權觀念，保護第二點各類之人員不受性騷擾之威脅，並設置專線電</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話、傳真、專用信箱或電子信箱等申訴及建言管道。於知悉（含口頭</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告知或書面通知）有性騷擾或疑似情事發生時，應即時採取有效之糾</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正及補救措施。</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前項所稱有效之糾正及補救措施，除指制止糾正加害人不當行為，並</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追蹤其告誡效果外，尚應加強採行防治員工性騷擾教育訓練及宣導措</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施，重申禁止工作場所性騷擾之聲明，立即檢視辦公空間之安全，如</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加強改善照明設備及視線死角等補救措施，以降低性騷擾再次發生機</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率。</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5</w:t>
      </w:r>
      <w:r w:rsidRPr="00550EB5">
        <w:rPr>
          <w:rFonts w:ascii="細明體" w:eastAsia="細明體" w:hAnsi="細明體" w:cs="新細明體" w:hint="eastAsia"/>
          <w:b/>
          <w:bCs/>
          <w:kern w:val="0"/>
          <w:szCs w:val="24"/>
        </w:rPr>
        <w:tab/>
        <w:t>五、本部及所屬各機關應妥善利用各集會及訓練課程，對所屬人員進行性</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騷擾防治措施及申訴管道之相關宣導，並鼓勵其參與性騷擾防治相關</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教育訓練。</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6</w:t>
      </w:r>
      <w:r w:rsidRPr="00550EB5">
        <w:rPr>
          <w:rFonts w:ascii="細明體" w:eastAsia="細明體" w:hAnsi="細明體" w:cs="新細明體" w:hint="eastAsia"/>
          <w:b/>
          <w:bCs/>
          <w:kern w:val="0"/>
          <w:szCs w:val="24"/>
        </w:rPr>
        <w:tab/>
        <w:t>六、本部及所屬各機關為受理性騷擾申訴及調查案件，設性騷擾申訴處理</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調查小組（以下簡稱申調小組）。</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申調小組置委員五人至十三人；其中一人為召集人，由機關首長指定</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副首長兼任，並為會議主席，主席因故無法主持會議時，得指定委員</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代理之；其餘委員由機關首長就本機關職員、社會公正人士或專家學</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者聘（派）兼任之，其中社會公正人士或專家學者應至少二名以上；</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且女性委員不得少於二分之一，又任一性別比例不得少於三分之一。</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委員任期二年，期滿得續聘（派），任期內出缺時，繼任委員任期至</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原任期屆滿之日止。</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申調小組置執行秘書一人，幹事若干人，由機關首長就本機關職員遴</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派兼任之。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申調小組委員、執行秘書及幹事均為無給職。</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申調小組應有全體委員二分之一以上出席始得開會，有出席委員過半</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數之同意始得作成決議，可否同數時，取決於主席。</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lastRenderedPageBreak/>
        <w:t>7</w:t>
      </w:r>
      <w:r w:rsidRPr="00550EB5">
        <w:rPr>
          <w:rFonts w:ascii="細明體" w:eastAsia="細明體" w:hAnsi="細明體" w:cs="新細明體" w:hint="eastAsia"/>
          <w:b/>
          <w:bCs/>
          <w:kern w:val="0"/>
          <w:szCs w:val="24"/>
        </w:rPr>
        <w:tab/>
        <w:t>七、性騷擾事件之申訴，被害人或其法定代理人、委任代理人除可依相關</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法律請求協助外，並得向申調小組提出申訴。</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前項申訴，得以書面或言詞提出。其以言詞提出者，申調小組應作成</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紀錄，並向申訴人朗讀或使其閱覽，確認內容無誤後，由其簽名或蓋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章。</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申訴書或紀錄，應載明下列事項，並由申訴人簽名蓋章：</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（一）申訴人或其法定代理人、委任代理人之姓名、性別、出生年月日、</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國民身分證統一編號或護照號碼、服務或就學單位及職稱、住居所</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、聯絡電話及申訴日期；委任代理人並應檢附委任書。</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（二）申訴事實發生日期、內容、可取得之相關事證或人證。</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申訴書或紀錄不合前項規定，而其情形可補正者，申調小組應通知申</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訴人於十四日內補正。</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第一項申訴，屬性騷擾防治法規範之性騷擾事件者，被害人應於事件</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發生後一年內向加害人服務機關提出申訴。</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性騷擾事件，如加害人為機關首長者，屬性騷擾防治法之事件應向該</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機關所在地直轄市、縣（市）政府機關提出申訴；屬性別工作平等法</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之性騷擾事件，應向具指揮監督權限之上級機關申訴。</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本部及所屬各機關如接獲非屬第二點所定之性騷擾申訴案件時，仍應</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採取適當之緊急處理，並應於七日內將申訴書及相關資料移送其所在</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地直轄市、縣（市）主管機關。</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8</w:t>
      </w:r>
      <w:r w:rsidRPr="00550EB5">
        <w:rPr>
          <w:rFonts w:ascii="細明體" w:eastAsia="細明體" w:hAnsi="細明體" w:cs="新細明體" w:hint="eastAsia"/>
          <w:b/>
          <w:bCs/>
          <w:kern w:val="0"/>
          <w:szCs w:val="24"/>
        </w:rPr>
        <w:tab/>
        <w:t>八、申調小組受理申訴案件後之處理程序如下：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（一）受理申訴案件，召集人應於七日內指派三人以上之委員組成專案小</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組進行調查，專案小組女性委員不得少於二分之一。</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（二）當事人如為派遣勞工，除應與派遣事業單位共同調查外，於開會審</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議時，亦應通知派遣事業單位派員列席，及將結果通知派遣事業單</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位及當事人。</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（三）專案小組調查過程應確保當事人之隱私權及其他人格法益，必要時</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，得請求警察機關協助。</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（四）專案小組調查結束後，應作成調查報告，提申調小組審議，申訴案</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件之審議，得通知當事人、關係人到場說明，必要時並得邀請具相</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關學識經驗之專家學者列席。</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（五）申調小組對申訴案件之審議，應作出成立或不成立之決議。決議不</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成立者，仍應審酌審議情形，為必要處理之建議。</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（六）審議決議應載明理由，以書面通知當事人，屬性騷擾防治法之性騷</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擾案件並移請相關機關（單位）依規定辦理。</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申訴案件應自受理之次日起二個月內結案；必要時，得延長一個月，</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並應通知當事人。</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9</w:t>
      </w:r>
      <w:r w:rsidRPr="00550EB5">
        <w:rPr>
          <w:rFonts w:ascii="細明體" w:eastAsia="細明體" w:hAnsi="細明體" w:cs="新細明體" w:hint="eastAsia"/>
          <w:b/>
          <w:bCs/>
          <w:kern w:val="0"/>
          <w:szCs w:val="24"/>
        </w:rPr>
        <w:tab/>
        <w:t>九、申調小組對依第八點決議成立性騷擾之員工，應依公務人員相關懲處</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規定，視其情節作成申誡、記過、記大過及免職等處分之建議；如經</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證實有誣告之事實者，亦應對申訴人為適當之懲處建議。</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前項性騷擾或誣告之事實，涉及刑事責任，且非屬告訴乃論之罪者，</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應簽報機關首長核定移送司法機關處理。</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10</w:t>
      </w:r>
      <w:r w:rsidRPr="00550EB5">
        <w:rPr>
          <w:rFonts w:ascii="細明體" w:eastAsia="細明體" w:hAnsi="細明體" w:cs="新細明體" w:hint="eastAsia"/>
          <w:b/>
          <w:bCs/>
          <w:kern w:val="0"/>
          <w:szCs w:val="24"/>
        </w:rPr>
        <w:tab/>
        <w:t>十、申訴案件有下列各款情形之一者，不予受理：</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lastRenderedPageBreak/>
        <w:t>（一）申訴不符第七點程序規定而無法通知補正，或經通知補正逾期不補</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正。</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（二）屬性騷擾防治法之性騷擾案件提出申訴逾申訴期限。</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（三）申訴人非性騷擾事件之被害人或其代理人。</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（四）同一事由經審議決議確定。</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（五）對不符合性騷擾防治法規定之性騷擾案件提起申訴。</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申調小組對屬性騷擾防治法規範之申訴案件，因具前項各款情形之一</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而不予受理時，應於申訴或移送到達之次日起二十日內，以書面通知</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當事人，並副知所在地直轄市、縣（市）主管機關。</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前項通知應敘明理理，並敘明再申訴之期間及機關。</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11</w:t>
      </w:r>
      <w:r w:rsidRPr="00550EB5">
        <w:rPr>
          <w:rFonts w:ascii="細明體" w:eastAsia="細明體" w:hAnsi="細明體" w:cs="新細明體" w:hint="eastAsia"/>
          <w:b/>
          <w:bCs/>
          <w:kern w:val="0"/>
          <w:szCs w:val="24"/>
        </w:rPr>
        <w:tab/>
        <w:t>十一、參與性騷擾申訴案件之處理、調查、審議之人員，對於申訴案件相</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關內容應予保密，違反者，召集人應即終止其參與，並得視情節輕</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重，簽報機關首長依法懲處並解除其聘（派）兼。</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12</w:t>
      </w:r>
      <w:r w:rsidRPr="00550EB5">
        <w:rPr>
          <w:rFonts w:ascii="細明體" w:eastAsia="細明體" w:hAnsi="細明體" w:cs="新細明體" w:hint="eastAsia"/>
          <w:b/>
          <w:bCs/>
          <w:kern w:val="0"/>
          <w:szCs w:val="24"/>
        </w:rPr>
        <w:tab/>
        <w:t>十二、參與性騷擾申訴案件之處理、調查、審議人員，有下列各款情形之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一者，應自行迴避：</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（一）本人或其配偶、前配偶、四親等內之血親或三親等內之姻親或曾</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有此關係者為事件之當事人時。</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（二）本人或其配偶、前配偶，就該事件與當事人有共同權利人或共同</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義務人之關係。</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（三）現為或曾為該事件當事人之代理人、輔佐人。</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（四）於該事件，曾為證人、鑑定人。</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（五）於該事件，曾為當事人之輔導人或曾參與該事件之調查及處理人</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員。</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前項人員應迴避而不自行迴避或有其他具體事實，足認其執行職務</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有偏頗之虞者，當事人得以書面舉其原因及事實，向申調小組申請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迴避。</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機關首長或召集人知悉第一項所列人員有應予迴避之情事或有其他</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足認其執行職務有偏頗之虞，亦得命其迴避之。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召集人涉有應予迴避之情事，除應依規定迴避外，亦應就專案小組</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人選指派事項予以迴避。</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13</w:t>
      </w:r>
      <w:r w:rsidRPr="00550EB5">
        <w:rPr>
          <w:rFonts w:ascii="細明體" w:eastAsia="細明體" w:hAnsi="細明體" w:cs="新細明體" w:hint="eastAsia"/>
          <w:b/>
          <w:bCs/>
          <w:kern w:val="0"/>
          <w:szCs w:val="24"/>
        </w:rPr>
        <w:tab/>
        <w:t>十三、適用性騷擾防治法之性騷擾案件進入偵查或審判程序者，申調小組</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得函請直轄市或縣（市）性騷擾防治委員會請求暫停審議。</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14</w:t>
      </w:r>
      <w:r w:rsidRPr="00550EB5">
        <w:rPr>
          <w:rFonts w:ascii="細明體" w:eastAsia="細明體" w:hAnsi="細明體" w:cs="新細明體" w:hint="eastAsia"/>
          <w:b/>
          <w:bCs/>
          <w:kern w:val="0"/>
          <w:szCs w:val="24"/>
        </w:rPr>
        <w:tab/>
        <w:t>十四、申訴案件當事人有下列情形之一者，得分別依各款所定程序提出救</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濟：</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（一）屬性別工作平等法規範之性騷擾事件：當事人對申訴案之決議有</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異議者，得於決議送達之次日起二十日內以書面提出申復。但當</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事人為公務人員保障法第三條或第一百零二條所定保障對象，應</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依公務人員保障法第二十五條規定提起復審。</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（二）屬性騷擾防治法規範之性騷擾事件：逾期未完成調查或當事人不</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服其調查結果者，當事人得於期限屆滿或調查結果通知到達之次</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日起三十日內，向所在地直轄市、縣（市）主管機關提出再申訴</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15</w:t>
      </w:r>
      <w:r w:rsidRPr="00550EB5">
        <w:rPr>
          <w:rFonts w:ascii="細明體" w:eastAsia="細明體" w:hAnsi="細明體" w:cs="新細明體" w:hint="eastAsia"/>
          <w:b/>
          <w:bCs/>
          <w:kern w:val="0"/>
          <w:szCs w:val="24"/>
        </w:rPr>
        <w:tab/>
        <w:t>十五、當事人有輔導、醫療等需要者，機關得協助轉介至專業輔導或醫療</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lastRenderedPageBreak/>
        <w:t xml:space="preserve">      機構。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16</w:t>
      </w:r>
      <w:r w:rsidRPr="00550EB5">
        <w:rPr>
          <w:rFonts w:ascii="細明體" w:eastAsia="細明體" w:hAnsi="細明體" w:cs="新細明體" w:hint="eastAsia"/>
          <w:b/>
          <w:bCs/>
          <w:kern w:val="0"/>
          <w:szCs w:val="24"/>
        </w:rPr>
        <w:tab/>
        <w:t>十六、本部及所屬各機關對於性騷擾申訴案件應採取事後追蹤、考核及監</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督，確保申訴案件決議之有效執行，並避免有相同事件或報復情事</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之發生。</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各機關不得因員工提出申訴或協助他人申訴，而予以解僱、調職或</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 xml:space="preserve">      其他不利處分。</w:t>
      </w:r>
    </w:p>
    <w:p w:rsidR="00550EB5" w:rsidRPr="00550EB5" w:rsidRDefault="00550EB5" w:rsidP="00550EB5">
      <w:pPr>
        <w:rPr>
          <w:rFonts w:ascii="細明體" w:eastAsia="細明體" w:hAnsi="細明體" w:cs="新細明體"/>
          <w:b/>
          <w:bCs/>
          <w:kern w:val="0"/>
          <w:szCs w:val="24"/>
        </w:rPr>
      </w:pPr>
      <w:r w:rsidRPr="00550EB5">
        <w:rPr>
          <w:rFonts w:ascii="細明體" w:eastAsia="細明體" w:hAnsi="細明體" w:cs="新細明體" w:hint="eastAsia"/>
          <w:b/>
          <w:bCs/>
          <w:kern w:val="0"/>
          <w:szCs w:val="24"/>
        </w:rPr>
        <w:t>17</w:t>
      </w:r>
      <w:r w:rsidRPr="00550EB5">
        <w:rPr>
          <w:rFonts w:ascii="細明體" w:eastAsia="細明體" w:hAnsi="細明體" w:cs="新細明體" w:hint="eastAsia"/>
          <w:b/>
          <w:bCs/>
          <w:kern w:val="0"/>
          <w:szCs w:val="24"/>
        </w:rPr>
        <w:tab/>
        <w:t>十七、申調小組所需經費，由本部及所屬各機關相關預算項下支應。</w:t>
      </w:r>
    </w:p>
    <w:p w:rsidR="00DD13DE" w:rsidRPr="00550EB5" w:rsidRDefault="00DD13DE" w:rsidP="00550EB5"/>
    <w:sectPr w:rsidR="00DD13DE" w:rsidRPr="00550EB5" w:rsidSect="008A034D">
      <w:pgSz w:w="11907" w:h="16840" w:code="9"/>
      <w:pgMar w:top="737" w:right="794" w:bottom="56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908" w:rsidRDefault="00D16908" w:rsidP="00550EB5">
      <w:r>
        <w:separator/>
      </w:r>
    </w:p>
  </w:endnote>
  <w:endnote w:type="continuationSeparator" w:id="0">
    <w:p w:rsidR="00D16908" w:rsidRDefault="00D16908" w:rsidP="0055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908" w:rsidRDefault="00D16908" w:rsidP="00550EB5">
      <w:r>
        <w:separator/>
      </w:r>
    </w:p>
  </w:footnote>
  <w:footnote w:type="continuationSeparator" w:id="0">
    <w:p w:rsidR="00D16908" w:rsidRDefault="00D16908" w:rsidP="0055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24C"/>
    <w:multiLevelType w:val="multilevel"/>
    <w:tmpl w:val="C7F2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623E32"/>
    <w:multiLevelType w:val="multilevel"/>
    <w:tmpl w:val="A080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D9"/>
    <w:rsid w:val="00550EB5"/>
    <w:rsid w:val="008A034D"/>
    <w:rsid w:val="008F7C89"/>
    <w:rsid w:val="00D16908"/>
    <w:rsid w:val="00D9632B"/>
    <w:rsid w:val="00DD13DE"/>
    <w:rsid w:val="00ED1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EB5"/>
    <w:pPr>
      <w:tabs>
        <w:tab w:val="center" w:pos="4153"/>
        <w:tab w:val="right" w:pos="8306"/>
      </w:tabs>
      <w:snapToGrid w:val="0"/>
    </w:pPr>
    <w:rPr>
      <w:sz w:val="20"/>
      <w:szCs w:val="20"/>
    </w:rPr>
  </w:style>
  <w:style w:type="character" w:customStyle="1" w:styleId="a4">
    <w:name w:val="頁首 字元"/>
    <w:basedOn w:val="a0"/>
    <w:link w:val="a3"/>
    <w:uiPriority w:val="99"/>
    <w:rsid w:val="00550EB5"/>
    <w:rPr>
      <w:sz w:val="20"/>
      <w:szCs w:val="20"/>
    </w:rPr>
  </w:style>
  <w:style w:type="paragraph" w:styleId="a5">
    <w:name w:val="footer"/>
    <w:basedOn w:val="a"/>
    <w:link w:val="a6"/>
    <w:uiPriority w:val="99"/>
    <w:unhideWhenUsed/>
    <w:rsid w:val="00550EB5"/>
    <w:pPr>
      <w:tabs>
        <w:tab w:val="center" w:pos="4153"/>
        <w:tab w:val="right" w:pos="8306"/>
      </w:tabs>
      <w:snapToGrid w:val="0"/>
    </w:pPr>
    <w:rPr>
      <w:sz w:val="20"/>
      <w:szCs w:val="20"/>
    </w:rPr>
  </w:style>
  <w:style w:type="character" w:customStyle="1" w:styleId="a6">
    <w:name w:val="頁尾 字元"/>
    <w:basedOn w:val="a0"/>
    <w:link w:val="a5"/>
    <w:uiPriority w:val="99"/>
    <w:rsid w:val="00550EB5"/>
    <w:rPr>
      <w:sz w:val="20"/>
      <w:szCs w:val="20"/>
    </w:rPr>
  </w:style>
  <w:style w:type="paragraph" w:styleId="a7">
    <w:name w:val="Balloon Text"/>
    <w:basedOn w:val="a"/>
    <w:link w:val="a8"/>
    <w:uiPriority w:val="99"/>
    <w:semiHidden/>
    <w:unhideWhenUsed/>
    <w:rsid w:val="008A034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A03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EB5"/>
    <w:pPr>
      <w:tabs>
        <w:tab w:val="center" w:pos="4153"/>
        <w:tab w:val="right" w:pos="8306"/>
      </w:tabs>
      <w:snapToGrid w:val="0"/>
    </w:pPr>
    <w:rPr>
      <w:sz w:val="20"/>
      <w:szCs w:val="20"/>
    </w:rPr>
  </w:style>
  <w:style w:type="character" w:customStyle="1" w:styleId="a4">
    <w:name w:val="頁首 字元"/>
    <w:basedOn w:val="a0"/>
    <w:link w:val="a3"/>
    <w:uiPriority w:val="99"/>
    <w:rsid w:val="00550EB5"/>
    <w:rPr>
      <w:sz w:val="20"/>
      <w:szCs w:val="20"/>
    </w:rPr>
  </w:style>
  <w:style w:type="paragraph" w:styleId="a5">
    <w:name w:val="footer"/>
    <w:basedOn w:val="a"/>
    <w:link w:val="a6"/>
    <w:uiPriority w:val="99"/>
    <w:unhideWhenUsed/>
    <w:rsid w:val="00550EB5"/>
    <w:pPr>
      <w:tabs>
        <w:tab w:val="center" w:pos="4153"/>
        <w:tab w:val="right" w:pos="8306"/>
      </w:tabs>
      <w:snapToGrid w:val="0"/>
    </w:pPr>
    <w:rPr>
      <w:sz w:val="20"/>
      <w:szCs w:val="20"/>
    </w:rPr>
  </w:style>
  <w:style w:type="character" w:customStyle="1" w:styleId="a6">
    <w:name w:val="頁尾 字元"/>
    <w:basedOn w:val="a0"/>
    <w:link w:val="a5"/>
    <w:uiPriority w:val="99"/>
    <w:rsid w:val="00550EB5"/>
    <w:rPr>
      <w:sz w:val="20"/>
      <w:szCs w:val="20"/>
    </w:rPr>
  </w:style>
  <w:style w:type="paragraph" w:styleId="a7">
    <w:name w:val="Balloon Text"/>
    <w:basedOn w:val="a"/>
    <w:link w:val="a8"/>
    <w:uiPriority w:val="99"/>
    <w:semiHidden/>
    <w:unhideWhenUsed/>
    <w:rsid w:val="008A034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A0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69900">
      <w:bodyDiv w:val="1"/>
      <w:marLeft w:val="0"/>
      <w:marRight w:val="0"/>
      <w:marTop w:val="0"/>
      <w:marBottom w:val="0"/>
      <w:divBdr>
        <w:top w:val="none" w:sz="0" w:space="0" w:color="auto"/>
        <w:left w:val="none" w:sz="0" w:space="0" w:color="auto"/>
        <w:bottom w:val="none" w:sz="0" w:space="0" w:color="auto"/>
        <w:right w:val="none" w:sz="0" w:space="0" w:color="auto"/>
      </w:divBdr>
      <w:divsChild>
        <w:div w:id="1771049196">
          <w:marLeft w:val="0"/>
          <w:marRight w:val="0"/>
          <w:marTop w:val="0"/>
          <w:marBottom w:val="0"/>
          <w:divBdr>
            <w:top w:val="none" w:sz="0" w:space="0" w:color="auto"/>
            <w:left w:val="none" w:sz="0" w:space="0" w:color="auto"/>
            <w:bottom w:val="none" w:sz="0" w:space="0" w:color="auto"/>
            <w:right w:val="none" w:sz="0" w:space="0" w:color="auto"/>
          </w:divBdr>
          <w:divsChild>
            <w:div w:id="2106682195">
              <w:marLeft w:val="0"/>
              <w:marRight w:val="0"/>
              <w:marTop w:val="0"/>
              <w:marBottom w:val="0"/>
              <w:divBdr>
                <w:top w:val="none" w:sz="0" w:space="0" w:color="auto"/>
                <w:left w:val="none" w:sz="0" w:space="0" w:color="auto"/>
                <w:bottom w:val="none" w:sz="0" w:space="0" w:color="auto"/>
                <w:right w:val="none" w:sz="0" w:space="0" w:color="auto"/>
              </w:divBdr>
              <w:divsChild>
                <w:div w:id="1912041385">
                  <w:marLeft w:val="900"/>
                  <w:marRight w:val="0"/>
                  <w:marTop w:val="0"/>
                  <w:marBottom w:val="0"/>
                  <w:divBdr>
                    <w:top w:val="none" w:sz="0" w:space="0" w:color="auto"/>
                    <w:left w:val="none" w:sz="0" w:space="0" w:color="auto"/>
                    <w:bottom w:val="none" w:sz="0" w:space="0" w:color="auto"/>
                    <w:right w:val="none" w:sz="0" w:space="0" w:color="auto"/>
                  </w:divBdr>
                </w:div>
                <w:div w:id="1434473567">
                  <w:marLeft w:val="900"/>
                  <w:marRight w:val="0"/>
                  <w:marTop w:val="0"/>
                  <w:marBottom w:val="0"/>
                  <w:divBdr>
                    <w:top w:val="none" w:sz="0" w:space="0" w:color="auto"/>
                    <w:left w:val="none" w:sz="0" w:space="0" w:color="auto"/>
                    <w:bottom w:val="none" w:sz="0" w:space="0" w:color="auto"/>
                    <w:right w:val="none" w:sz="0" w:space="0" w:color="auto"/>
                  </w:divBdr>
                </w:div>
                <w:div w:id="1517886298">
                  <w:marLeft w:val="900"/>
                  <w:marRight w:val="0"/>
                  <w:marTop w:val="0"/>
                  <w:marBottom w:val="0"/>
                  <w:divBdr>
                    <w:top w:val="none" w:sz="0" w:space="0" w:color="auto"/>
                    <w:left w:val="none" w:sz="0" w:space="0" w:color="auto"/>
                    <w:bottom w:val="none" w:sz="0" w:space="0" w:color="auto"/>
                    <w:right w:val="none" w:sz="0" w:space="0" w:color="auto"/>
                  </w:divBdr>
                </w:div>
                <w:div w:id="1592158026">
                  <w:marLeft w:val="900"/>
                  <w:marRight w:val="0"/>
                  <w:marTop w:val="0"/>
                  <w:marBottom w:val="0"/>
                  <w:divBdr>
                    <w:top w:val="none" w:sz="0" w:space="0" w:color="auto"/>
                    <w:left w:val="none" w:sz="0" w:space="0" w:color="auto"/>
                    <w:bottom w:val="none" w:sz="0" w:space="0" w:color="auto"/>
                    <w:right w:val="none" w:sz="0" w:space="0" w:color="auto"/>
                  </w:divBdr>
                </w:div>
                <w:div w:id="750588234">
                  <w:marLeft w:val="900"/>
                  <w:marRight w:val="0"/>
                  <w:marTop w:val="0"/>
                  <w:marBottom w:val="0"/>
                  <w:divBdr>
                    <w:top w:val="none" w:sz="0" w:space="0" w:color="auto"/>
                    <w:left w:val="none" w:sz="0" w:space="0" w:color="auto"/>
                    <w:bottom w:val="none" w:sz="0" w:space="0" w:color="auto"/>
                    <w:right w:val="none" w:sz="0" w:space="0" w:color="auto"/>
                  </w:divBdr>
                </w:div>
                <w:div w:id="1322538205">
                  <w:marLeft w:val="900"/>
                  <w:marRight w:val="0"/>
                  <w:marTop w:val="0"/>
                  <w:marBottom w:val="0"/>
                  <w:divBdr>
                    <w:top w:val="none" w:sz="0" w:space="0" w:color="auto"/>
                    <w:left w:val="none" w:sz="0" w:space="0" w:color="auto"/>
                    <w:bottom w:val="none" w:sz="0" w:space="0" w:color="auto"/>
                    <w:right w:val="none" w:sz="0" w:space="0" w:color="auto"/>
                  </w:divBdr>
                </w:div>
                <w:div w:id="1274170450">
                  <w:marLeft w:val="900"/>
                  <w:marRight w:val="0"/>
                  <w:marTop w:val="0"/>
                  <w:marBottom w:val="0"/>
                  <w:divBdr>
                    <w:top w:val="none" w:sz="0" w:space="0" w:color="auto"/>
                    <w:left w:val="none" w:sz="0" w:space="0" w:color="auto"/>
                    <w:bottom w:val="none" w:sz="0" w:space="0" w:color="auto"/>
                    <w:right w:val="none" w:sz="0" w:space="0" w:color="auto"/>
                  </w:divBdr>
                </w:div>
                <w:div w:id="2116359833">
                  <w:marLeft w:val="900"/>
                  <w:marRight w:val="0"/>
                  <w:marTop w:val="0"/>
                  <w:marBottom w:val="0"/>
                  <w:divBdr>
                    <w:top w:val="none" w:sz="0" w:space="0" w:color="auto"/>
                    <w:left w:val="none" w:sz="0" w:space="0" w:color="auto"/>
                    <w:bottom w:val="none" w:sz="0" w:space="0" w:color="auto"/>
                    <w:right w:val="none" w:sz="0" w:space="0" w:color="auto"/>
                  </w:divBdr>
                </w:div>
                <w:div w:id="130754350">
                  <w:marLeft w:val="900"/>
                  <w:marRight w:val="0"/>
                  <w:marTop w:val="0"/>
                  <w:marBottom w:val="0"/>
                  <w:divBdr>
                    <w:top w:val="none" w:sz="0" w:space="0" w:color="auto"/>
                    <w:left w:val="none" w:sz="0" w:space="0" w:color="auto"/>
                    <w:bottom w:val="none" w:sz="0" w:space="0" w:color="auto"/>
                    <w:right w:val="none" w:sz="0" w:space="0" w:color="auto"/>
                  </w:divBdr>
                </w:div>
                <w:div w:id="736828195">
                  <w:marLeft w:val="900"/>
                  <w:marRight w:val="0"/>
                  <w:marTop w:val="0"/>
                  <w:marBottom w:val="0"/>
                  <w:divBdr>
                    <w:top w:val="none" w:sz="0" w:space="0" w:color="auto"/>
                    <w:left w:val="none" w:sz="0" w:space="0" w:color="auto"/>
                    <w:bottom w:val="none" w:sz="0" w:space="0" w:color="auto"/>
                    <w:right w:val="none" w:sz="0" w:space="0" w:color="auto"/>
                  </w:divBdr>
                </w:div>
                <w:div w:id="421029640">
                  <w:marLeft w:val="900"/>
                  <w:marRight w:val="0"/>
                  <w:marTop w:val="0"/>
                  <w:marBottom w:val="0"/>
                  <w:divBdr>
                    <w:top w:val="none" w:sz="0" w:space="0" w:color="auto"/>
                    <w:left w:val="none" w:sz="0" w:space="0" w:color="auto"/>
                    <w:bottom w:val="none" w:sz="0" w:space="0" w:color="auto"/>
                    <w:right w:val="none" w:sz="0" w:space="0" w:color="auto"/>
                  </w:divBdr>
                </w:div>
                <w:div w:id="1241670669">
                  <w:marLeft w:val="900"/>
                  <w:marRight w:val="0"/>
                  <w:marTop w:val="0"/>
                  <w:marBottom w:val="0"/>
                  <w:divBdr>
                    <w:top w:val="none" w:sz="0" w:space="0" w:color="auto"/>
                    <w:left w:val="none" w:sz="0" w:space="0" w:color="auto"/>
                    <w:bottom w:val="none" w:sz="0" w:space="0" w:color="auto"/>
                    <w:right w:val="none" w:sz="0" w:space="0" w:color="auto"/>
                  </w:divBdr>
                </w:div>
                <w:div w:id="2098013548">
                  <w:marLeft w:val="900"/>
                  <w:marRight w:val="0"/>
                  <w:marTop w:val="0"/>
                  <w:marBottom w:val="0"/>
                  <w:divBdr>
                    <w:top w:val="none" w:sz="0" w:space="0" w:color="auto"/>
                    <w:left w:val="none" w:sz="0" w:space="0" w:color="auto"/>
                    <w:bottom w:val="none" w:sz="0" w:space="0" w:color="auto"/>
                    <w:right w:val="none" w:sz="0" w:space="0" w:color="auto"/>
                  </w:divBdr>
                </w:div>
                <w:div w:id="923102378">
                  <w:marLeft w:val="900"/>
                  <w:marRight w:val="0"/>
                  <w:marTop w:val="0"/>
                  <w:marBottom w:val="0"/>
                  <w:divBdr>
                    <w:top w:val="none" w:sz="0" w:space="0" w:color="auto"/>
                    <w:left w:val="none" w:sz="0" w:space="0" w:color="auto"/>
                    <w:bottom w:val="none" w:sz="0" w:space="0" w:color="auto"/>
                    <w:right w:val="none" w:sz="0" w:space="0" w:color="auto"/>
                  </w:divBdr>
                </w:div>
                <w:div w:id="1274706180">
                  <w:marLeft w:val="900"/>
                  <w:marRight w:val="0"/>
                  <w:marTop w:val="0"/>
                  <w:marBottom w:val="0"/>
                  <w:divBdr>
                    <w:top w:val="none" w:sz="0" w:space="0" w:color="auto"/>
                    <w:left w:val="none" w:sz="0" w:space="0" w:color="auto"/>
                    <w:bottom w:val="none" w:sz="0" w:space="0" w:color="auto"/>
                    <w:right w:val="none" w:sz="0" w:space="0" w:color="auto"/>
                  </w:divBdr>
                </w:div>
                <w:div w:id="769162557">
                  <w:marLeft w:val="900"/>
                  <w:marRight w:val="0"/>
                  <w:marTop w:val="0"/>
                  <w:marBottom w:val="0"/>
                  <w:divBdr>
                    <w:top w:val="none" w:sz="0" w:space="0" w:color="auto"/>
                    <w:left w:val="none" w:sz="0" w:space="0" w:color="auto"/>
                    <w:bottom w:val="none" w:sz="0" w:space="0" w:color="auto"/>
                    <w:right w:val="none" w:sz="0" w:space="0" w:color="auto"/>
                  </w:divBdr>
                </w:div>
                <w:div w:id="98678305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4831">
      <w:bodyDiv w:val="1"/>
      <w:marLeft w:val="0"/>
      <w:marRight w:val="0"/>
      <w:marTop w:val="0"/>
      <w:marBottom w:val="0"/>
      <w:divBdr>
        <w:top w:val="none" w:sz="0" w:space="0" w:color="auto"/>
        <w:left w:val="none" w:sz="0" w:space="0" w:color="auto"/>
        <w:bottom w:val="none" w:sz="0" w:space="0" w:color="auto"/>
        <w:right w:val="none" w:sz="0" w:space="0" w:color="auto"/>
      </w:divBdr>
      <w:divsChild>
        <w:div w:id="831526059">
          <w:marLeft w:val="0"/>
          <w:marRight w:val="0"/>
          <w:marTop w:val="0"/>
          <w:marBottom w:val="0"/>
          <w:divBdr>
            <w:top w:val="none" w:sz="0" w:space="0" w:color="auto"/>
            <w:left w:val="none" w:sz="0" w:space="0" w:color="auto"/>
            <w:bottom w:val="none" w:sz="0" w:space="0" w:color="auto"/>
            <w:right w:val="none" w:sz="0" w:space="0" w:color="auto"/>
          </w:divBdr>
          <w:divsChild>
            <w:div w:id="905143137">
              <w:marLeft w:val="0"/>
              <w:marRight w:val="0"/>
              <w:marTop w:val="0"/>
              <w:marBottom w:val="0"/>
              <w:divBdr>
                <w:top w:val="none" w:sz="0" w:space="0" w:color="auto"/>
                <w:left w:val="none" w:sz="0" w:space="0" w:color="auto"/>
                <w:bottom w:val="none" w:sz="0" w:space="0" w:color="auto"/>
                <w:right w:val="none" w:sz="0" w:space="0" w:color="auto"/>
              </w:divBdr>
              <w:divsChild>
                <w:div w:id="1045720731">
                  <w:marLeft w:val="900"/>
                  <w:marRight w:val="0"/>
                  <w:marTop w:val="0"/>
                  <w:marBottom w:val="0"/>
                  <w:divBdr>
                    <w:top w:val="none" w:sz="0" w:space="0" w:color="auto"/>
                    <w:left w:val="none" w:sz="0" w:space="0" w:color="auto"/>
                    <w:bottom w:val="none" w:sz="0" w:space="0" w:color="auto"/>
                    <w:right w:val="none" w:sz="0" w:space="0" w:color="auto"/>
                  </w:divBdr>
                </w:div>
                <w:div w:id="1546792626">
                  <w:marLeft w:val="900"/>
                  <w:marRight w:val="0"/>
                  <w:marTop w:val="0"/>
                  <w:marBottom w:val="0"/>
                  <w:divBdr>
                    <w:top w:val="none" w:sz="0" w:space="0" w:color="auto"/>
                    <w:left w:val="none" w:sz="0" w:space="0" w:color="auto"/>
                    <w:bottom w:val="none" w:sz="0" w:space="0" w:color="auto"/>
                    <w:right w:val="none" w:sz="0" w:space="0" w:color="auto"/>
                  </w:divBdr>
                </w:div>
                <w:div w:id="2001230840">
                  <w:marLeft w:val="900"/>
                  <w:marRight w:val="0"/>
                  <w:marTop w:val="0"/>
                  <w:marBottom w:val="0"/>
                  <w:divBdr>
                    <w:top w:val="none" w:sz="0" w:space="0" w:color="auto"/>
                    <w:left w:val="none" w:sz="0" w:space="0" w:color="auto"/>
                    <w:bottom w:val="none" w:sz="0" w:space="0" w:color="auto"/>
                    <w:right w:val="none" w:sz="0" w:space="0" w:color="auto"/>
                  </w:divBdr>
                </w:div>
                <w:div w:id="1581208756">
                  <w:marLeft w:val="900"/>
                  <w:marRight w:val="0"/>
                  <w:marTop w:val="0"/>
                  <w:marBottom w:val="0"/>
                  <w:divBdr>
                    <w:top w:val="none" w:sz="0" w:space="0" w:color="auto"/>
                    <w:left w:val="none" w:sz="0" w:space="0" w:color="auto"/>
                    <w:bottom w:val="none" w:sz="0" w:space="0" w:color="auto"/>
                    <w:right w:val="none" w:sz="0" w:space="0" w:color="auto"/>
                  </w:divBdr>
                </w:div>
                <w:div w:id="329523938">
                  <w:marLeft w:val="900"/>
                  <w:marRight w:val="0"/>
                  <w:marTop w:val="0"/>
                  <w:marBottom w:val="0"/>
                  <w:divBdr>
                    <w:top w:val="none" w:sz="0" w:space="0" w:color="auto"/>
                    <w:left w:val="none" w:sz="0" w:space="0" w:color="auto"/>
                    <w:bottom w:val="none" w:sz="0" w:space="0" w:color="auto"/>
                    <w:right w:val="none" w:sz="0" w:space="0" w:color="auto"/>
                  </w:divBdr>
                </w:div>
                <w:div w:id="1565412638">
                  <w:marLeft w:val="900"/>
                  <w:marRight w:val="0"/>
                  <w:marTop w:val="0"/>
                  <w:marBottom w:val="0"/>
                  <w:divBdr>
                    <w:top w:val="none" w:sz="0" w:space="0" w:color="auto"/>
                    <w:left w:val="none" w:sz="0" w:space="0" w:color="auto"/>
                    <w:bottom w:val="none" w:sz="0" w:space="0" w:color="auto"/>
                    <w:right w:val="none" w:sz="0" w:space="0" w:color="auto"/>
                  </w:divBdr>
                </w:div>
                <w:div w:id="284891485">
                  <w:marLeft w:val="900"/>
                  <w:marRight w:val="0"/>
                  <w:marTop w:val="0"/>
                  <w:marBottom w:val="0"/>
                  <w:divBdr>
                    <w:top w:val="none" w:sz="0" w:space="0" w:color="auto"/>
                    <w:left w:val="none" w:sz="0" w:space="0" w:color="auto"/>
                    <w:bottom w:val="none" w:sz="0" w:space="0" w:color="auto"/>
                    <w:right w:val="none" w:sz="0" w:space="0" w:color="auto"/>
                  </w:divBdr>
                </w:div>
                <w:div w:id="47535527">
                  <w:marLeft w:val="900"/>
                  <w:marRight w:val="0"/>
                  <w:marTop w:val="0"/>
                  <w:marBottom w:val="0"/>
                  <w:divBdr>
                    <w:top w:val="none" w:sz="0" w:space="0" w:color="auto"/>
                    <w:left w:val="none" w:sz="0" w:space="0" w:color="auto"/>
                    <w:bottom w:val="none" w:sz="0" w:space="0" w:color="auto"/>
                    <w:right w:val="none" w:sz="0" w:space="0" w:color="auto"/>
                  </w:divBdr>
                </w:div>
                <w:div w:id="317998590">
                  <w:marLeft w:val="900"/>
                  <w:marRight w:val="0"/>
                  <w:marTop w:val="0"/>
                  <w:marBottom w:val="0"/>
                  <w:divBdr>
                    <w:top w:val="none" w:sz="0" w:space="0" w:color="auto"/>
                    <w:left w:val="none" w:sz="0" w:space="0" w:color="auto"/>
                    <w:bottom w:val="none" w:sz="0" w:space="0" w:color="auto"/>
                    <w:right w:val="none" w:sz="0" w:space="0" w:color="auto"/>
                  </w:divBdr>
                </w:div>
                <w:div w:id="840120973">
                  <w:marLeft w:val="900"/>
                  <w:marRight w:val="0"/>
                  <w:marTop w:val="0"/>
                  <w:marBottom w:val="0"/>
                  <w:divBdr>
                    <w:top w:val="none" w:sz="0" w:space="0" w:color="auto"/>
                    <w:left w:val="none" w:sz="0" w:space="0" w:color="auto"/>
                    <w:bottom w:val="none" w:sz="0" w:space="0" w:color="auto"/>
                    <w:right w:val="none" w:sz="0" w:space="0" w:color="auto"/>
                  </w:divBdr>
                </w:div>
                <w:div w:id="1450201361">
                  <w:marLeft w:val="900"/>
                  <w:marRight w:val="0"/>
                  <w:marTop w:val="0"/>
                  <w:marBottom w:val="0"/>
                  <w:divBdr>
                    <w:top w:val="none" w:sz="0" w:space="0" w:color="auto"/>
                    <w:left w:val="none" w:sz="0" w:space="0" w:color="auto"/>
                    <w:bottom w:val="none" w:sz="0" w:space="0" w:color="auto"/>
                    <w:right w:val="none" w:sz="0" w:space="0" w:color="auto"/>
                  </w:divBdr>
                </w:div>
                <w:div w:id="196700606">
                  <w:marLeft w:val="900"/>
                  <w:marRight w:val="0"/>
                  <w:marTop w:val="0"/>
                  <w:marBottom w:val="0"/>
                  <w:divBdr>
                    <w:top w:val="none" w:sz="0" w:space="0" w:color="auto"/>
                    <w:left w:val="none" w:sz="0" w:space="0" w:color="auto"/>
                    <w:bottom w:val="none" w:sz="0" w:space="0" w:color="auto"/>
                    <w:right w:val="none" w:sz="0" w:space="0" w:color="auto"/>
                  </w:divBdr>
                </w:div>
                <w:div w:id="1258715355">
                  <w:marLeft w:val="900"/>
                  <w:marRight w:val="0"/>
                  <w:marTop w:val="0"/>
                  <w:marBottom w:val="0"/>
                  <w:divBdr>
                    <w:top w:val="none" w:sz="0" w:space="0" w:color="auto"/>
                    <w:left w:val="none" w:sz="0" w:space="0" w:color="auto"/>
                    <w:bottom w:val="none" w:sz="0" w:space="0" w:color="auto"/>
                    <w:right w:val="none" w:sz="0" w:space="0" w:color="auto"/>
                  </w:divBdr>
                </w:div>
                <w:div w:id="232931883">
                  <w:marLeft w:val="900"/>
                  <w:marRight w:val="0"/>
                  <w:marTop w:val="0"/>
                  <w:marBottom w:val="0"/>
                  <w:divBdr>
                    <w:top w:val="none" w:sz="0" w:space="0" w:color="auto"/>
                    <w:left w:val="none" w:sz="0" w:space="0" w:color="auto"/>
                    <w:bottom w:val="none" w:sz="0" w:space="0" w:color="auto"/>
                    <w:right w:val="none" w:sz="0" w:space="0" w:color="auto"/>
                  </w:divBdr>
                </w:div>
                <w:div w:id="275676610">
                  <w:marLeft w:val="900"/>
                  <w:marRight w:val="0"/>
                  <w:marTop w:val="0"/>
                  <w:marBottom w:val="0"/>
                  <w:divBdr>
                    <w:top w:val="none" w:sz="0" w:space="0" w:color="auto"/>
                    <w:left w:val="none" w:sz="0" w:space="0" w:color="auto"/>
                    <w:bottom w:val="none" w:sz="0" w:space="0" w:color="auto"/>
                    <w:right w:val="none" w:sz="0" w:space="0" w:color="auto"/>
                  </w:divBdr>
                </w:div>
                <w:div w:id="814372063">
                  <w:marLeft w:val="900"/>
                  <w:marRight w:val="0"/>
                  <w:marTop w:val="0"/>
                  <w:marBottom w:val="0"/>
                  <w:divBdr>
                    <w:top w:val="none" w:sz="0" w:space="0" w:color="auto"/>
                    <w:left w:val="none" w:sz="0" w:space="0" w:color="auto"/>
                    <w:bottom w:val="none" w:sz="0" w:space="0" w:color="auto"/>
                    <w:right w:val="none" w:sz="0" w:space="0" w:color="auto"/>
                  </w:divBdr>
                </w:div>
                <w:div w:id="38719055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人事室</dc:creator>
  <cp:lastModifiedBy>人事室</cp:lastModifiedBy>
  <cp:revision>3</cp:revision>
  <cp:lastPrinted>2018-10-05T01:04:00Z</cp:lastPrinted>
  <dcterms:created xsi:type="dcterms:W3CDTF">2018-03-13T09:32:00Z</dcterms:created>
  <dcterms:modified xsi:type="dcterms:W3CDTF">2018-10-05T01:04:00Z</dcterms:modified>
</cp:coreProperties>
</file>